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AE0" w:rsidRPr="00342AE0" w:rsidRDefault="00342AE0" w:rsidP="00342AE0">
      <w:pPr>
        <w:jc w:val="center"/>
        <w:rPr>
          <w:rFonts w:ascii="Museo Sans 900" w:hAnsi="Museo Sans 900"/>
          <w:b/>
          <w:color w:val="0099BD"/>
          <w:sz w:val="32"/>
          <w:szCs w:val="24"/>
        </w:rPr>
      </w:pPr>
      <w:bookmarkStart w:id="0" w:name="_GoBack"/>
      <w:bookmarkEnd w:id="0"/>
      <w:r w:rsidRPr="00342AE0">
        <w:rPr>
          <w:rFonts w:ascii="Museo Sans 900" w:hAnsi="Museo Sans 900"/>
          <w:b/>
          <w:color w:val="0099BD"/>
          <w:sz w:val="32"/>
          <w:szCs w:val="24"/>
        </w:rPr>
        <w:t>Think family toolkit</w:t>
      </w:r>
    </w:p>
    <w:p w:rsidR="00342AE0" w:rsidRPr="00342AE0" w:rsidRDefault="00342AE0" w:rsidP="00342AE0">
      <w:pPr>
        <w:rPr>
          <w:rFonts w:ascii="Museo Sans 300" w:hAnsi="Museo Sans 300"/>
          <w:bCs/>
          <w:szCs w:val="20"/>
        </w:rPr>
      </w:pPr>
      <w:r w:rsidRPr="00342AE0">
        <w:rPr>
          <w:rFonts w:ascii="Museo Sans 300" w:hAnsi="Museo Sans 300"/>
          <w:bCs/>
          <w:szCs w:val="20"/>
        </w:rPr>
        <w:t>Part of establishing a Think Family approach is to ensure that all staff have access to the information and resources that they need to support prisoners to develop and maintain family ties. While Think Family training will help staff to understand the need to support a Think Family approach, resources and information that can all be found in one place is important in supporting day to day practice. Equally, this toolkit would be a useful resource to accompany Think Family training. Toolkits could be made available electronically on intranet systems, as hard copies on wings, in key worker suites and across functions. Family and Significant Other Strategy groups could be made responsible for ensuring that the toolkits are kept up to date and promoted.</w:t>
      </w:r>
    </w:p>
    <w:p w:rsidR="00342AE0" w:rsidRPr="00342AE0" w:rsidRDefault="00342AE0" w:rsidP="00342AE0">
      <w:pPr>
        <w:rPr>
          <w:b/>
          <w:bCs/>
          <w:color w:val="5B9BD5" w:themeColor="accent1"/>
          <w:szCs w:val="24"/>
        </w:rPr>
      </w:pPr>
      <w:r w:rsidRPr="00342AE0">
        <w:rPr>
          <w:b/>
          <w:bCs/>
          <w:noProof/>
          <w:color w:val="5B9BD5" w:themeColor="accent1"/>
          <w:szCs w:val="24"/>
          <w:lang w:eastAsia="en-GB"/>
        </w:rPr>
        <mc:AlternateContent>
          <mc:Choice Requires="wps">
            <w:drawing>
              <wp:anchor distT="0" distB="0" distL="114300" distR="114300" simplePos="0" relativeHeight="251659264" behindDoc="0" locked="0" layoutInCell="1" allowOverlap="1" wp14:anchorId="4B078DB3" wp14:editId="7BD3F393">
                <wp:simplePos x="0" y="0"/>
                <wp:positionH relativeFrom="column">
                  <wp:posOffset>7620</wp:posOffset>
                </wp:positionH>
                <wp:positionV relativeFrom="paragraph">
                  <wp:posOffset>117475</wp:posOffset>
                </wp:positionV>
                <wp:extent cx="570738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707380" cy="0"/>
                        </a:xfrm>
                        <a:prstGeom prst="line">
                          <a:avLst/>
                        </a:prstGeom>
                        <a:ln w="19050">
                          <a:solidFill>
                            <a:schemeClr val="accent1">
                              <a:alpha val="44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76B91B" id="Straight Connector 2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9.25pt" to="45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" strokecolor="#5b9bd5 [3204]" strokeweight="1.5pt">
                <v:stroke opacity="28784f" joinstyle="miter"/>
              </v:line>
            </w:pict>
          </mc:Fallback>
        </mc:AlternateContent>
      </w:r>
    </w:p>
    <w:p w:rsidR="00342AE0" w:rsidRPr="00342AE0" w:rsidRDefault="00342AE0" w:rsidP="00342AE0">
      <w:pPr>
        <w:rPr>
          <w:rFonts w:ascii="Museo Sans 300" w:hAnsi="Museo Sans 300"/>
          <w:bCs/>
          <w:szCs w:val="20"/>
        </w:rPr>
      </w:pPr>
      <w:r w:rsidRPr="00342AE0">
        <w:rPr>
          <w:rFonts w:ascii="Museo Sans 300" w:hAnsi="Museo Sans 300"/>
          <w:bCs/>
          <w:szCs w:val="20"/>
        </w:rPr>
        <w:t>The following list is not exhaustive, however it suggests some of the documents, policies and resources that could support and inform a Think Family approach.</w:t>
      </w:r>
    </w:p>
    <w:p w:rsidR="00342AE0" w:rsidRPr="00342AE0" w:rsidRDefault="00342AE0" w:rsidP="00342AE0">
      <w:pPr>
        <w:pStyle w:val="ListParagraph"/>
        <w:numPr>
          <w:ilvl w:val="0"/>
          <w:numId w:val="1"/>
        </w:numPr>
        <w:rPr>
          <w:rFonts w:ascii="Museo Sans 300" w:hAnsi="Museo Sans 300"/>
          <w:bCs/>
          <w:szCs w:val="20"/>
        </w:rPr>
      </w:pPr>
      <w:r w:rsidRPr="00342AE0">
        <w:rPr>
          <w:rFonts w:ascii="Museo Sans 300" w:hAnsi="Museo Sans 300"/>
          <w:bCs/>
          <w:szCs w:val="20"/>
        </w:rPr>
        <w:t>Establishment Family and Significant Other Strategy</w:t>
      </w:r>
    </w:p>
    <w:p w:rsidR="00342AE0" w:rsidRPr="00342AE0" w:rsidRDefault="00342AE0" w:rsidP="00342AE0">
      <w:pPr>
        <w:pStyle w:val="ListParagraph"/>
        <w:numPr>
          <w:ilvl w:val="0"/>
          <w:numId w:val="1"/>
        </w:numPr>
        <w:rPr>
          <w:rFonts w:ascii="Museo Sans 300" w:hAnsi="Museo Sans 300"/>
          <w:bCs/>
          <w:szCs w:val="20"/>
        </w:rPr>
      </w:pPr>
      <w:r w:rsidRPr="00342AE0">
        <w:rPr>
          <w:rFonts w:ascii="Museo Sans 300" w:hAnsi="Museo Sans 300"/>
          <w:bCs/>
          <w:szCs w:val="20"/>
        </w:rPr>
        <w:t>Establishment Child Safeguarding Policy and procedures</w:t>
      </w:r>
    </w:p>
    <w:p w:rsidR="00342AE0" w:rsidRPr="00342AE0" w:rsidRDefault="00342AE0" w:rsidP="00342AE0">
      <w:pPr>
        <w:pStyle w:val="ListParagraph"/>
        <w:numPr>
          <w:ilvl w:val="0"/>
          <w:numId w:val="1"/>
        </w:numPr>
        <w:rPr>
          <w:rFonts w:ascii="Museo Sans 300" w:hAnsi="Museo Sans 300"/>
          <w:bCs/>
          <w:szCs w:val="20"/>
        </w:rPr>
      </w:pPr>
      <w:r w:rsidRPr="00342AE0">
        <w:rPr>
          <w:rFonts w:ascii="Museo Sans 300" w:hAnsi="Museo Sans 300"/>
          <w:bCs/>
          <w:szCs w:val="20"/>
        </w:rPr>
        <w:t>Ministry of Justice Strengthening Prisoners Family Ties Policy Framework (2019)</w:t>
      </w:r>
    </w:p>
    <w:p w:rsidR="00342AE0" w:rsidRPr="00342AE0" w:rsidRDefault="00342AE0" w:rsidP="00342AE0">
      <w:pPr>
        <w:pStyle w:val="ListParagraph"/>
        <w:numPr>
          <w:ilvl w:val="0"/>
          <w:numId w:val="1"/>
        </w:numPr>
        <w:rPr>
          <w:rFonts w:ascii="Museo Sans 300" w:hAnsi="Museo Sans 300"/>
          <w:bCs/>
          <w:szCs w:val="20"/>
        </w:rPr>
      </w:pPr>
      <w:r w:rsidRPr="00342AE0">
        <w:rPr>
          <w:rFonts w:ascii="Museo Sans 300" w:hAnsi="Museo Sans 300"/>
          <w:bCs/>
          <w:szCs w:val="20"/>
        </w:rPr>
        <w:t>Relevant Safer Custody Learning Bulletins such as:</w:t>
      </w:r>
    </w:p>
    <w:p w:rsidR="00342AE0" w:rsidRPr="00342AE0" w:rsidRDefault="00342AE0" w:rsidP="00342AE0">
      <w:pPr>
        <w:pStyle w:val="ListParagraph"/>
        <w:numPr>
          <w:ilvl w:val="1"/>
          <w:numId w:val="1"/>
        </w:numPr>
        <w:rPr>
          <w:rFonts w:ascii="Museo Sans 300" w:hAnsi="Museo Sans 300"/>
          <w:bCs/>
          <w:szCs w:val="20"/>
        </w:rPr>
      </w:pPr>
      <w:r w:rsidRPr="00342AE0">
        <w:rPr>
          <w:rFonts w:ascii="Museo Sans 300" w:hAnsi="Museo Sans 300"/>
          <w:bCs/>
          <w:szCs w:val="20"/>
        </w:rPr>
        <w:t>Issue 14: Receiving Emergency Calls: facilitating the sharing of risk information by families, Samaritans and others (October 2016)</w:t>
      </w:r>
    </w:p>
    <w:p w:rsidR="00342AE0" w:rsidRPr="00342AE0" w:rsidRDefault="00342AE0" w:rsidP="00342AE0">
      <w:pPr>
        <w:pStyle w:val="ListParagraph"/>
        <w:numPr>
          <w:ilvl w:val="1"/>
          <w:numId w:val="1"/>
        </w:numPr>
        <w:rPr>
          <w:rFonts w:ascii="Museo Sans 300" w:hAnsi="Museo Sans 300"/>
          <w:bCs/>
          <w:szCs w:val="20"/>
        </w:rPr>
      </w:pPr>
      <w:r w:rsidRPr="00342AE0">
        <w:rPr>
          <w:rFonts w:ascii="Museo Sans 300" w:hAnsi="Museo Sans 300"/>
          <w:bCs/>
          <w:szCs w:val="20"/>
        </w:rPr>
        <w:t>Issue 37: Sharing information with a prisoner’s family and/or friends: when can it be done and what can be disclosed? (March 2019)</w:t>
      </w:r>
    </w:p>
    <w:p w:rsidR="00342AE0" w:rsidRPr="00342AE0" w:rsidRDefault="00342AE0" w:rsidP="00342AE0">
      <w:pPr>
        <w:pStyle w:val="ListParagraph"/>
        <w:numPr>
          <w:ilvl w:val="1"/>
          <w:numId w:val="1"/>
        </w:numPr>
        <w:rPr>
          <w:rFonts w:ascii="Museo Sans 300" w:hAnsi="Museo Sans 300"/>
          <w:bCs/>
          <w:szCs w:val="20"/>
        </w:rPr>
      </w:pPr>
      <w:r w:rsidRPr="00342AE0">
        <w:rPr>
          <w:rFonts w:ascii="Museo Sans 300" w:hAnsi="Museo Sans 300"/>
          <w:bCs/>
          <w:szCs w:val="20"/>
        </w:rPr>
        <w:t>Issue 38: How to respond to contact from family members and friends of prisoners who are concerned about their wellbeing (March 2019)</w:t>
      </w:r>
    </w:p>
    <w:p w:rsidR="00342AE0" w:rsidRPr="00342AE0" w:rsidRDefault="00342AE0" w:rsidP="00342AE0">
      <w:pPr>
        <w:pStyle w:val="ListParagraph"/>
        <w:numPr>
          <w:ilvl w:val="0"/>
          <w:numId w:val="1"/>
        </w:numPr>
        <w:rPr>
          <w:rFonts w:ascii="Museo Sans 300" w:hAnsi="Museo Sans 300"/>
          <w:bCs/>
          <w:szCs w:val="20"/>
        </w:rPr>
      </w:pPr>
      <w:r w:rsidRPr="00342AE0">
        <w:rPr>
          <w:rFonts w:ascii="Museo Sans 300" w:hAnsi="Museo Sans 300"/>
          <w:bCs/>
          <w:szCs w:val="20"/>
        </w:rPr>
        <w:t>Information leaflet about family provider services in the establishment as well as any other partner organisations providing family support or interventions</w:t>
      </w:r>
    </w:p>
    <w:p w:rsidR="00342AE0" w:rsidRPr="00342AE0" w:rsidRDefault="00342AE0" w:rsidP="00342AE0">
      <w:pPr>
        <w:pStyle w:val="ListParagraph"/>
        <w:numPr>
          <w:ilvl w:val="0"/>
          <w:numId w:val="1"/>
        </w:numPr>
        <w:rPr>
          <w:rFonts w:ascii="Museo Sans 300" w:hAnsi="Museo Sans 300"/>
          <w:bCs/>
          <w:szCs w:val="20"/>
        </w:rPr>
      </w:pPr>
      <w:r w:rsidRPr="00342AE0">
        <w:rPr>
          <w:rFonts w:ascii="Museo Sans 300" w:hAnsi="Museo Sans 300"/>
          <w:bCs/>
          <w:szCs w:val="20"/>
        </w:rPr>
        <w:t xml:space="preserve">Information and guidance about supporting care leavers, including establishment Care Leaver Strategy (see </w:t>
      </w:r>
      <w:r w:rsidRPr="00342AE0">
        <w:rPr>
          <w:rFonts w:ascii="Museo Sans 300" w:hAnsi="Museo Sans 300"/>
          <w:bCs/>
          <w:i/>
          <w:iCs/>
          <w:szCs w:val="20"/>
        </w:rPr>
        <w:t>Supporting your work with care leavers in custody</w:t>
      </w:r>
      <w:r w:rsidRPr="00342AE0">
        <w:rPr>
          <w:rFonts w:ascii="Museo Sans 300" w:hAnsi="Museo Sans 300"/>
          <w:bCs/>
          <w:szCs w:val="20"/>
        </w:rPr>
        <w:t>)</w:t>
      </w:r>
    </w:p>
    <w:p w:rsidR="00342AE0" w:rsidRPr="00342AE0" w:rsidRDefault="00342AE0" w:rsidP="00342AE0">
      <w:pPr>
        <w:pStyle w:val="ListParagraph"/>
        <w:numPr>
          <w:ilvl w:val="0"/>
          <w:numId w:val="1"/>
        </w:numPr>
        <w:rPr>
          <w:rFonts w:ascii="Museo Sans 300" w:hAnsi="Museo Sans 300"/>
          <w:bCs/>
          <w:szCs w:val="20"/>
        </w:rPr>
      </w:pPr>
      <w:r w:rsidRPr="00342AE0">
        <w:rPr>
          <w:rFonts w:ascii="Museo Sans 300" w:hAnsi="Museo Sans 300"/>
          <w:bCs/>
          <w:szCs w:val="20"/>
        </w:rPr>
        <w:t xml:space="preserve">Information about how to support prisoners to maintain contact with family and significant others (see </w:t>
      </w:r>
      <w:r w:rsidRPr="00342AE0">
        <w:rPr>
          <w:rFonts w:ascii="Museo Sans 300" w:hAnsi="Museo Sans 300"/>
          <w:i/>
          <w:iCs/>
          <w:szCs w:val="24"/>
        </w:rPr>
        <w:t>Keeping in touch: how prisoners can maintain contact with family and significant others</w:t>
      </w:r>
      <w:r w:rsidRPr="00342AE0">
        <w:rPr>
          <w:rFonts w:ascii="Museo Sans 300" w:hAnsi="Museo Sans 300"/>
          <w:szCs w:val="24"/>
        </w:rPr>
        <w:t>)</w:t>
      </w:r>
    </w:p>
    <w:p w:rsidR="00342AE0" w:rsidRPr="00342AE0" w:rsidRDefault="00342AE0" w:rsidP="00342AE0">
      <w:pPr>
        <w:pStyle w:val="ListParagraph"/>
        <w:numPr>
          <w:ilvl w:val="0"/>
          <w:numId w:val="1"/>
        </w:numPr>
        <w:rPr>
          <w:rFonts w:ascii="Museo Sans 300" w:hAnsi="Museo Sans 300"/>
          <w:bCs/>
          <w:i/>
          <w:iCs/>
          <w:szCs w:val="20"/>
        </w:rPr>
      </w:pPr>
      <w:r w:rsidRPr="00342AE0">
        <w:rPr>
          <w:rFonts w:ascii="Museo Sans 300" w:hAnsi="Museo Sans 300"/>
          <w:bCs/>
          <w:i/>
          <w:iCs/>
          <w:szCs w:val="20"/>
        </w:rPr>
        <w:t xml:space="preserve">Think Family checklist </w:t>
      </w:r>
    </w:p>
    <w:p w:rsidR="00342AE0" w:rsidRPr="00342AE0" w:rsidRDefault="00342AE0" w:rsidP="00342AE0">
      <w:pPr>
        <w:pStyle w:val="ListParagraph"/>
        <w:numPr>
          <w:ilvl w:val="0"/>
          <w:numId w:val="1"/>
        </w:numPr>
        <w:rPr>
          <w:rFonts w:ascii="Museo Sans 300" w:hAnsi="Museo Sans 300"/>
          <w:bCs/>
          <w:szCs w:val="20"/>
        </w:rPr>
      </w:pPr>
      <w:r w:rsidRPr="00342AE0">
        <w:rPr>
          <w:rFonts w:ascii="Museo Sans 300" w:hAnsi="Museo Sans 300"/>
          <w:bCs/>
          <w:szCs w:val="20"/>
        </w:rPr>
        <w:t>Information about how families can be involved in</w:t>
      </w:r>
      <w:r w:rsidRPr="00342AE0">
        <w:rPr>
          <w:rFonts w:ascii="Museo Sans 300" w:hAnsi="Museo Sans 300"/>
          <w:sz w:val="20"/>
        </w:rPr>
        <w:t xml:space="preserve"> </w:t>
      </w:r>
      <w:r w:rsidRPr="00342AE0">
        <w:rPr>
          <w:rFonts w:ascii="Museo Sans 300" w:hAnsi="Museo Sans 300"/>
          <w:bCs/>
          <w:szCs w:val="20"/>
        </w:rPr>
        <w:t xml:space="preserve">Assessment, Care in Custody and Teamwork (ACCT) reviews (see Her Majesty’s Prison and Probation Service leaflet </w:t>
      </w:r>
      <w:r w:rsidRPr="00342AE0">
        <w:rPr>
          <w:rFonts w:ascii="Museo Sans 300" w:hAnsi="Museo Sans 300"/>
          <w:bCs/>
          <w:i/>
          <w:iCs/>
          <w:szCs w:val="20"/>
        </w:rPr>
        <w:t>ACCT: Family Involvement</w:t>
      </w:r>
      <w:r w:rsidRPr="00342AE0">
        <w:rPr>
          <w:rFonts w:ascii="Museo Sans 300" w:hAnsi="Museo Sans 300"/>
          <w:bCs/>
          <w:szCs w:val="20"/>
        </w:rPr>
        <w:t>)</w:t>
      </w:r>
    </w:p>
    <w:p w:rsidR="00342AE0" w:rsidRPr="00342AE0" w:rsidRDefault="00342AE0" w:rsidP="00342AE0">
      <w:pPr>
        <w:pStyle w:val="ListParagraph"/>
        <w:numPr>
          <w:ilvl w:val="0"/>
          <w:numId w:val="1"/>
        </w:numPr>
        <w:rPr>
          <w:rFonts w:ascii="Museo Sans 300" w:hAnsi="Museo Sans 300"/>
          <w:bCs/>
          <w:szCs w:val="20"/>
        </w:rPr>
      </w:pPr>
      <w:r w:rsidRPr="00342AE0">
        <w:rPr>
          <w:rFonts w:ascii="Museo Sans 300" w:hAnsi="Museo Sans 300"/>
          <w:bCs/>
          <w:szCs w:val="20"/>
        </w:rPr>
        <w:t>Information leaflet about the National Information Centre on Children of Offenders (</w:t>
      </w:r>
      <w:hyperlink r:id="rId7" w:history="1">
        <w:r w:rsidRPr="00342AE0">
          <w:rPr>
            <w:rStyle w:val="Hyperlink"/>
            <w:rFonts w:ascii="Museo Sans 300" w:hAnsi="Museo Sans 300"/>
            <w:bCs/>
            <w:szCs w:val="20"/>
          </w:rPr>
          <w:t>www.nicco.org.uk</w:t>
        </w:r>
      </w:hyperlink>
      <w:r w:rsidRPr="00342AE0">
        <w:rPr>
          <w:rFonts w:ascii="Museo Sans 300" w:hAnsi="Museo Sans 300"/>
          <w:bCs/>
          <w:szCs w:val="20"/>
        </w:rPr>
        <w:t xml:space="preserve">) which lists all the services, policies and research concerned with supporting the children of prisoners as well as a directory of family support services provided in prisons across England. </w:t>
      </w:r>
    </w:p>
    <w:p w:rsidR="00924740" w:rsidRDefault="00512BC4"/>
    <w:sectPr w:rsidR="009247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BC4" w:rsidRDefault="00512BC4" w:rsidP="00342AE0">
      <w:pPr>
        <w:spacing w:after="0" w:line="240" w:lineRule="auto"/>
      </w:pPr>
      <w:r>
        <w:separator/>
      </w:r>
    </w:p>
  </w:endnote>
  <w:endnote w:type="continuationSeparator" w:id="0">
    <w:p w:rsidR="00512BC4" w:rsidRDefault="00512BC4" w:rsidP="003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fontKey="{8C5EE906-B618-4A5C-B23A-788FAAEDEA54}"/>
  </w:font>
  <w:font w:name="Museo Sans 900">
    <w:panose1 w:val="00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AE0" w:rsidRDefault="00342AE0" w:rsidP="00342AE0">
    <w:pPr>
      <w:pStyle w:val="Footer"/>
      <w:jc w:val="center"/>
    </w:pPr>
    <w:r>
      <w:rPr>
        <w:noProof/>
        <w:lang w:eastAsia="en-GB"/>
      </w:rPr>
      <w:drawing>
        <wp:inline distT="0" distB="0" distL="0" distR="0" wp14:anchorId="0BC55F68" wp14:editId="2DE9BEFF">
          <wp:extent cx="1752600" cy="685800"/>
          <wp:effectExtent l="0" t="0" r="0" b="0"/>
          <wp:docPr id="1" name="Picture 1" descr="clinks_logo_strap_rgb_me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nks_logo_strap_rgb_med-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85800"/>
                  </a:xfrm>
                  <a:prstGeom prst="rect">
                    <a:avLst/>
                  </a:prstGeom>
                  <a:noFill/>
                  <a:ln>
                    <a:noFill/>
                  </a:ln>
                </pic:spPr>
              </pic:pic>
            </a:graphicData>
          </a:graphic>
        </wp:inline>
      </w:drawing>
    </w:r>
  </w:p>
  <w:p w:rsidR="00342AE0" w:rsidRDefault="00342AE0" w:rsidP="00342AE0">
    <w:pPr>
      <w:pStyle w:val="Footer"/>
    </w:pPr>
  </w:p>
  <w:p w:rsidR="00342AE0" w:rsidRPr="00342AE0" w:rsidRDefault="00342AE0" w:rsidP="00342AE0">
    <w:pPr>
      <w:pStyle w:val="Footer"/>
      <w:jc w:val="center"/>
      <w:rPr>
        <w:sz w:val="18"/>
      </w:rPr>
    </w:pPr>
    <w:r w:rsidRPr="00992282">
      <w:rPr>
        <w:sz w:val="18"/>
      </w:rPr>
      <w:t>Clinks is a registered charity no. 1074546 and a company limited by guarantee, registered in England no. 3562176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BC4" w:rsidRDefault="00512BC4" w:rsidP="00342AE0">
      <w:pPr>
        <w:spacing w:after="0" w:line="240" w:lineRule="auto"/>
      </w:pPr>
      <w:r>
        <w:separator/>
      </w:r>
    </w:p>
  </w:footnote>
  <w:footnote w:type="continuationSeparator" w:id="0">
    <w:p w:rsidR="00512BC4" w:rsidRDefault="00512BC4" w:rsidP="00342A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106AB"/>
    <w:multiLevelType w:val="hybridMultilevel"/>
    <w:tmpl w:val="ED126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E0"/>
    <w:rsid w:val="00023BC4"/>
    <w:rsid w:val="00342AE0"/>
    <w:rsid w:val="00506EC0"/>
    <w:rsid w:val="00512BC4"/>
    <w:rsid w:val="008E67BC"/>
    <w:rsid w:val="00E26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7110F-9D15-49D0-93AE-07A77AFC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AE0"/>
    <w:pPr>
      <w:ind w:left="720"/>
      <w:contextualSpacing/>
    </w:pPr>
  </w:style>
  <w:style w:type="character" w:styleId="Hyperlink">
    <w:name w:val="Hyperlink"/>
    <w:basedOn w:val="DefaultParagraphFont"/>
    <w:uiPriority w:val="99"/>
    <w:unhideWhenUsed/>
    <w:rsid w:val="00342AE0"/>
    <w:rPr>
      <w:color w:val="0563C1" w:themeColor="hyperlink"/>
      <w:u w:val="single"/>
    </w:rPr>
  </w:style>
  <w:style w:type="character" w:customStyle="1" w:styleId="ListParagraphChar">
    <w:name w:val="List Paragraph Char"/>
    <w:link w:val="ListParagraph"/>
    <w:uiPriority w:val="34"/>
    <w:locked/>
    <w:rsid w:val="00342AE0"/>
  </w:style>
  <w:style w:type="paragraph" w:styleId="Header">
    <w:name w:val="header"/>
    <w:basedOn w:val="Normal"/>
    <w:link w:val="HeaderChar"/>
    <w:uiPriority w:val="99"/>
    <w:unhideWhenUsed/>
    <w:rsid w:val="0034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AE0"/>
  </w:style>
  <w:style w:type="paragraph" w:styleId="Footer">
    <w:name w:val="footer"/>
    <w:basedOn w:val="Normal"/>
    <w:link w:val="FooterChar"/>
    <w:uiPriority w:val="99"/>
    <w:unhideWhenUsed/>
    <w:rsid w:val="00342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20247">
      <w:bodyDiv w:val="1"/>
      <w:marLeft w:val="0"/>
      <w:marRight w:val="0"/>
      <w:marTop w:val="0"/>
      <w:marBottom w:val="0"/>
      <w:divBdr>
        <w:top w:val="none" w:sz="0" w:space="0" w:color="auto"/>
        <w:left w:val="none" w:sz="0" w:space="0" w:color="auto"/>
        <w:bottom w:val="none" w:sz="0" w:space="0" w:color="auto"/>
        <w:right w:val="none" w:sz="0" w:space="0" w:color="auto"/>
      </w:divBdr>
      <w:divsChild>
        <w:div w:id="1166556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ic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Virtual IT</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Watson</dc:creator>
  <cp:keywords/>
  <dc:description/>
  <cp:lastModifiedBy>Ben Watson</cp:lastModifiedBy>
  <cp:revision>2</cp:revision>
  <dcterms:created xsi:type="dcterms:W3CDTF">2019-09-23T17:16:00Z</dcterms:created>
  <dcterms:modified xsi:type="dcterms:W3CDTF">2019-09-23T17:29:00Z</dcterms:modified>
</cp:coreProperties>
</file>